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left"/>
        <w:rPr>
          <w:szCs w:val="21"/>
        </w:rPr>
      </w:pPr>
      <w:r>
        <w:rPr>
          <w:rFonts w:hint="eastAsia"/>
          <w:szCs w:val="21"/>
        </w:rPr>
        <w:t>附件2</w:t>
      </w:r>
    </w:p>
    <w:p>
      <w:pPr>
        <w:spacing w:afterLines="5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课程教学大纲</w:t>
      </w:r>
    </w:p>
    <w:tbl>
      <w:tblPr>
        <w:tblStyle w:val="9"/>
        <w:tblW w:w="9924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6"/>
        <w:gridCol w:w="1265"/>
        <w:gridCol w:w="1515"/>
        <w:gridCol w:w="1477"/>
        <w:gridCol w:w="618"/>
        <w:gridCol w:w="941"/>
        <w:gridCol w:w="1692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924" w:type="dxa"/>
            <w:gridSpan w:val="8"/>
            <w:shd w:val="clear" w:color="auto" w:fill="D8D8D8" w:themeFill="background1" w:themeFillShade="D9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课程基本信息（Course Information）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课程代码</w:t>
            </w:r>
          </w:p>
          <w:p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Code）</w:t>
            </w:r>
          </w:p>
        </w:tc>
        <w:tc>
          <w:tcPr>
            <w:tcW w:w="1265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color w:val="0070C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70C0"/>
                <w:lang w:val="en-US" w:eastAsia="zh-CN"/>
              </w:rPr>
              <w:t>PU228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>
              <w:t>学时</w:t>
            </w:r>
          </w:p>
          <w:p>
            <w:pPr>
              <w:jc w:val="center"/>
              <w:rPr>
                <w:w w:val="90"/>
              </w:rPr>
            </w:pPr>
            <w:r>
              <w:rPr>
                <w:w w:val="90"/>
              </w:rPr>
              <w:t>（Credit</w:t>
            </w:r>
            <w:r>
              <w:rPr>
                <w:rFonts w:hint="eastAsia"/>
                <w:w w:val="90"/>
              </w:rPr>
              <w:t xml:space="preserve"> Hours</w:t>
            </w:r>
            <w:r>
              <w:rPr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>
              <w:t>学分</w:t>
            </w:r>
          </w:p>
          <w:p>
            <w:pPr>
              <w:jc w:val="center"/>
            </w:pPr>
            <w:r>
              <w:t>（Credits）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00B050"/>
                <w:lang w:val="en-US" w:eastAsia="zh-CN"/>
              </w:rPr>
            </w:pPr>
            <w:r>
              <w:rPr>
                <w:rFonts w:hint="eastAsia"/>
                <w:color w:val="00B05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406" w:type="dxa"/>
            <w:vMerge w:val="restart"/>
            <w:vAlign w:val="center"/>
          </w:tcPr>
          <w:p>
            <w:r>
              <w:rPr>
                <w:rFonts w:hint="eastAsia"/>
                <w:color w:val="FF0000"/>
              </w:rPr>
              <w:t>*</w:t>
            </w:r>
            <w:r>
              <w:t>课程名称</w:t>
            </w:r>
          </w:p>
          <w:p>
            <w:r>
              <w:t>（</w:t>
            </w:r>
            <w:r>
              <w:rPr>
                <w:rFonts w:hint="eastAsia"/>
              </w:rPr>
              <w:t>Course Name）</w:t>
            </w:r>
          </w:p>
        </w:tc>
        <w:tc>
          <w:tcPr>
            <w:tcW w:w="7518" w:type="dxa"/>
            <w:gridSpan w:val="7"/>
          </w:tcPr>
          <w:p>
            <w:pPr>
              <w:jc w:val="left"/>
            </w:pPr>
            <w:r>
              <w:rPr>
                <w:rFonts w:hint="eastAsia"/>
              </w:rPr>
              <w:t>（中文）</w:t>
            </w:r>
            <w:r>
              <w:rPr>
                <w:rFonts w:hint="eastAsia"/>
                <w:lang w:eastAsia="zh-CN"/>
              </w:rPr>
              <w:t>公共组织行为学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406" w:type="dxa"/>
            <w:vMerge w:val="continue"/>
          </w:tcPr>
          <w:p>
            <w:pPr>
              <w:jc w:val="left"/>
            </w:pPr>
          </w:p>
        </w:tc>
        <w:tc>
          <w:tcPr>
            <w:tcW w:w="7518" w:type="dxa"/>
            <w:gridSpan w:val="7"/>
          </w:tcPr>
          <w:p>
            <w:pPr>
              <w:jc w:val="left"/>
            </w:pPr>
            <w:r>
              <w:rPr>
                <w:rFonts w:hint="eastAsia"/>
              </w:rPr>
              <w:t>（英文）</w:t>
            </w:r>
            <w:r>
              <w:rPr>
                <w:rFonts w:hint="eastAsia"/>
                <w:lang w:val="en-US" w:eastAsia="zh-CN"/>
              </w:rPr>
              <w:t>Public Organization Behavior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课程性质</w:t>
            </w:r>
          </w:p>
          <w:p>
            <w:pPr>
              <w:jc w:val="center"/>
            </w:pPr>
            <w:r>
              <w:rPr>
                <w:rFonts w:hint="eastAsia"/>
              </w:rPr>
              <w:t>(Course Type)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  <w:rPr>
                <w:rFonts w:hint="eastAsia" w:eastAsiaTheme="minorEastAsia"/>
                <w:color w:val="0070C0"/>
                <w:lang w:val="en-US" w:eastAsia="zh-CN"/>
              </w:rPr>
            </w:pPr>
            <w:r>
              <w:rPr>
                <w:rFonts w:hint="eastAsia"/>
                <w:color w:val="0070C0"/>
                <w:lang w:val="en-US" w:eastAsia="zh-CN"/>
              </w:rPr>
              <w:t>专业必修课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授课对象</w:t>
            </w:r>
          </w:p>
          <w:p>
            <w:pPr>
              <w:jc w:val="center"/>
            </w:pPr>
            <w:r>
              <w:rPr>
                <w:rFonts w:hint="eastAsia"/>
              </w:rPr>
              <w:t>（Audience）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  <w:rPr>
                <w:rFonts w:hint="eastAsia" w:eastAsiaTheme="minorEastAsia"/>
                <w:color w:val="0070C0"/>
                <w:lang w:eastAsia="zh-CN"/>
              </w:rPr>
            </w:pPr>
            <w:r>
              <w:rPr>
                <w:rFonts w:hint="eastAsia"/>
                <w:color w:val="0070C0"/>
                <w:lang w:eastAsia="zh-CN"/>
              </w:rPr>
              <w:t>本院本科生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授课语言</w:t>
            </w:r>
          </w:p>
          <w:p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>
              <w:rPr>
                <w:rFonts w:hint="eastAsia"/>
              </w:rPr>
              <w:t>开课院系</w:t>
            </w:r>
          </w:p>
          <w:p>
            <w:pPr>
              <w:jc w:val="center"/>
            </w:pPr>
            <w:r>
              <w:rPr>
                <w:rFonts w:hint="eastAsia"/>
              </w:rPr>
              <w:t>（School）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</w:pPr>
            <w:r>
              <w:t>国际</w:t>
            </w:r>
            <w:r>
              <w:rPr>
                <w:rFonts w:hint="eastAsia"/>
              </w:rPr>
              <w:t>与公共事务学院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先修课程</w:t>
            </w:r>
          </w:p>
          <w:p>
            <w:pPr>
              <w:jc w:val="center"/>
            </w:pPr>
            <w:r>
              <w:rPr>
                <w:rFonts w:hint="eastAsia"/>
              </w:rPr>
              <w:t>（Prerequisite）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  <w:rPr>
                <w:rFonts w:hint="eastAsia" w:eastAsiaTheme="minorEastAsia"/>
                <w:color w:val="0070C0"/>
                <w:lang w:eastAsia="zh-CN"/>
              </w:rPr>
            </w:pPr>
            <w:r>
              <w:rPr>
                <w:rFonts w:hint="eastAsia"/>
                <w:color w:val="0070C0"/>
                <w:lang w:eastAsia="zh-CN"/>
              </w:rPr>
              <w:t>管理学原理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授课教师</w:t>
            </w:r>
          </w:p>
          <w:p>
            <w:pPr>
              <w:jc w:val="center"/>
            </w:pPr>
            <w:r>
              <w:rPr>
                <w:rFonts w:hint="eastAsia"/>
              </w:rPr>
              <w:t>（Instructor）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吕晓俊</w:t>
            </w:r>
          </w:p>
        </w:tc>
        <w:tc>
          <w:tcPr>
            <w:tcW w:w="209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课程网址</w:t>
            </w:r>
          </w:p>
          <w:p>
            <w:pPr>
              <w:jc w:val="center"/>
            </w:pPr>
            <w:r>
              <w:rPr>
                <w:rFonts w:hint="eastAsia"/>
              </w:rPr>
              <w:t>(</w:t>
            </w:r>
            <w:r>
              <w:t xml:space="preserve">Course </w:t>
            </w:r>
            <w:r>
              <w:rPr>
                <w:rFonts w:hint="eastAsia"/>
              </w:rPr>
              <w:t>W</w:t>
            </w:r>
            <w:r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jc w:val="center"/>
              <w:rPr>
                <w:color w:val="00B05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>
              <w:rPr>
                <w:rFonts w:hint="eastAsia"/>
              </w:rPr>
              <w:t>课程简介</w:t>
            </w:r>
            <w:r>
              <w:rPr>
                <w:rFonts w:hint="eastAsia"/>
                <w:w w:val="90"/>
              </w:rPr>
              <w:t>（Description）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spacing w:line="360" w:lineRule="auto"/>
              <w:rPr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组织行为学，是采用系统分析的方法，综合运用心理学、社会学、人类学、生理学、经济学和政治学等知识 ，研究一定组织中人的心理和行为的规律性，从而提高各级领导者和管理者对人的行为的预测和引导能力，以便更有效地实现组织预定的目标。主要内容包括：（1）对个体行为的研究，包括对人性的认识，对个体心理因素中知觉、价值观、个性和态度的认识，以及对人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需要的认识及有关激励理论的研究。（2）对群体行为的研究，包括群体与团队、领导、沟通等。（3）对组织的心理及行为规律的研究，并应用这一理论对组织设计、组织变革和组织发展进行研究。（4）对社会环境的研究。研究组织与社会的交换关系，社会环境和文化对组织行为的影响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240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</w:rPr>
              <w:t>*</w:t>
            </w:r>
            <w:r>
              <w:rPr>
                <w:rFonts w:hint="eastAsia"/>
              </w:rPr>
              <w:t>课程简介</w:t>
            </w:r>
            <w:r>
              <w:rPr>
                <w:rFonts w:hint="eastAsia"/>
                <w:w w:val="90"/>
              </w:rPr>
              <w:t>（Description）</w:t>
            </w:r>
            <w:r>
              <w:rPr>
                <w:rFonts w:hint="eastAsia"/>
                <w:b/>
                <w:bCs/>
                <w:w w:val="90"/>
                <w:lang w:eastAsia="zh-CN"/>
              </w:rPr>
              <w:t>英文</w:t>
            </w:r>
          </w:p>
        </w:tc>
        <w:tc>
          <w:tcPr>
            <w:tcW w:w="751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Public organizational behavior is the study of human behavior in public sectors, the interaction between people and the organization with the intent to understand and predict human behavior. It includes: Fundamental concepts and overview of organization behavior, Individual behavior &amp;learning in organizations, Foundations of employee motivation, Organizational leadership, Team dynamics, Organization power and politics, Organizational conflicts and negotiation, Interpersonal and organizational communications and Organizational culture.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924" w:type="dxa"/>
            <w:gridSpan w:val="8"/>
            <w:shd w:val="clear" w:color="auto" w:fill="D8D8D8" w:themeFill="background1" w:themeFillShade="D9"/>
            <w:vAlign w:val="center"/>
          </w:tcPr>
          <w:p>
            <w:r>
              <w:rPr>
                <w:rFonts w:hint="eastAsia"/>
              </w:rPr>
              <w:t>课程教学大纲（C</w:t>
            </w:r>
            <w:r>
              <w:t xml:space="preserve">ourse </w:t>
            </w:r>
            <w:r>
              <w:rPr>
                <w:rFonts w:hint="eastAsia"/>
              </w:rPr>
              <w:t>S</w:t>
            </w:r>
            <w:r>
              <w:t>yllabus</w:t>
            </w:r>
            <w:r>
              <w:rPr>
                <w:rFonts w:hint="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2406" w:type="dxa"/>
            <w:vAlign w:val="center"/>
          </w:tcPr>
          <w:p>
            <w:pPr>
              <w:jc w:val="left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学习目标(Learning Outcomes)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公共组织行为学是公共管理类专业的学生一门必修课程。开设该课程的基本目的是研究公共组织中人的心理和行为的规律性，提高管理人员预测、引导和控制人的行为的能力，以顺利实现组织预期目标和提高组织成员个人满意度。通过本课程的学习，使学生全面深入地理解和把握组织中个体、群体、组织、领导的心理和行为的特点及规律性，学会运用心理学的理论和方法有效地激励人的行为，充分调动人的积极性、主动性和创造性，不断提高公共组织管理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6" w:type="dxa"/>
            <w:vAlign w:val="center"/>
          </w:tcPr>
          <w:p>
            <w:pPr>
              <w:spacing w:line="460" w:lineRule="exact"/>
              <w:jc w:val="center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教学内容、进度安排及要求(</w:t>
            </w:r>
            <w:r>
              <w:t>Class Schedule</w:t>
            </w:r>
            <w:r>
              <w:rPr>
                <w:rFonts w:hint="eastAsia"/>
              </w:rPr>
              <w:t>&amp;</w:t>
            </w:r>
            <w:r>
              <w:t>Requirements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第一模块：公共组织管理的性质与环境                   （10学时）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组织行为学导论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信息技术化和全球化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公共组织的伦理道德管理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第二模块：组织行为的认知过程                          （8学时）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态度与工作满意度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人格与价值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情绪与情绪劳动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第三模块：组织行为的动力过程                         （12学时）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工作动机与激励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群体与工作团队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冲突与沟通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第四模块：组织行为的控制过程                        （12学时）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权力与政治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有效的领导过程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绩效控制过程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第五模块：组织行为的变革与发展                       （6学时）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组织结构的基础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组织文化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组织变革与压力管理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考核方式(Grading)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tabs>
                <w:tab w:val="left" w:pos="12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right="0" w:rightChars="0"/>
              <w:jc w:val="both"/>
              <w:textAlignment w:val="auto"/>
              <w:outlineLvl w:val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课程考核办法：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tabs>
                <w:tab w:val="left" w:pos="12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right="0" w:rightChars="0"/>
              <w:jc w:val="both"/>
              <w:textAlignment w:val="auto"/>
              <w:outlineLvl w:val="0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考勤情况10%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tabs>
                <w:tab w:val="left" w:pos="12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right="0" w:rightChars="0"/>
              <w:jc w:val="both"/>
              <w:textAlignment w:val="auto"/>
              <w:outlineLvl w:val="0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团体</w:t>
            </w:r>
            <w:r>
              <w:rPr>
                <w:rFonts w:hint="eastAsia" w:ascii="宋体" w:hAnsi="宋体" w:eastAsia="宋体" w:cs="宋体"/>
                <w:sz w:val="24"/>
              </w:rPr>
              <w:t>作业30%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tabs>
                <w:tab w:val="left" w:pos="12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right="0" w:rightChars="0"/>
              <w:jc w:val="both"/>
              <w:textAlignment w:val="auto"/>
              <w:outlineLvl w:val="0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期末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课程报告</w:t>
            </w:r>
            <w:r>
              <w:rPr>
                <w:rFonts w:hint="eastAsia" w:ascii="宋体" w:hAnsi="宋体" w:eastAsia="宋体" w:cs="宋体"/>
                <w:sz w:val="24"/>
              </w:rPr>
              <w:t>60%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tabs>
                <w:tab w:val="left" w:pos="12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right="0" w:rightChars="0"/>
              <w:jc w:val="both"/>
              <w:textAlignment w:val="auto"/>
              <w:outlineLvl w:val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评分标准：</w:t>
            </w:r>
          </w:p>
          <w:p>
            <w:pPr>
              <w:keepNext w:val="0"/>
              <w:keepLines w:val="0"/>
              <w:pageBreakBefore w:val="0"/>
              <w:tabs>
                <w:tab w:val="left" w:pos="12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right="0" w:rightChars="0" w:firstLine="540"/>
              <w:jc w:val="both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独立、较好地完成资料整理，考前准备等前期工作，概念掌握全面准确，分析问题正确、全面，具有一定的深度。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C00000"/>
              </w:rPr>
              <w:t>*</w:t>
            </w:r>
            <w:r>
              <w:rPr>
                <w:rFonts w:hint="eastAsia"/>
              </w:rPr>
              <w:t>教材或参考资料(Textbooks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0" w:leftChars="0" w:right="0" w:rightChars="0" w:hanging="42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[美]斯蒂芬·罗宾斯，组织行为学（第14版），中国人民大学出版社，2012年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0" w:leftChars="0" w:right="0" w:rightChars="0" w:hanging="42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加里·金，社会科学中的研究设计，格致出版社，2014年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0" w:leftChars="0" w:right="0" w:rightChars="0" w:hanging="42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（美）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instrText xml:space="preserve"> HYPERLINK "http://www.dangdang.com/author/%B5%C7%B9%FE%CC%D8_1" \t "_blank" </w:instrTex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登哈特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等著，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instrText xml:space="preserve"> HYPERLINK "http://www.dangdang.com/author/%D5%D4%C0%F6%BD%AD_1" \t "_blank" </w:instrTex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赵丽江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译 公共组织行为学，出版社: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instrText xml:space="preserve"> HYPERLINK "http://www.dangdang.com/publish/%D6%D0%B9%FA%C8%CB%C3%F1%B4%F3%D1%A7%B3%F6%B0%E6%C9%E7_1" \t "_blank" </w:instrTex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中国人民大学出版社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出版时间:2007年11月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0" w:leftChars="0" w:right="0" w:rightChars="0" w:hanging="42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instrText xml:space="preserve"> HYPERLINK "http://www.dangdang.com/author/%C8%CE%BA%C6_1" \t "_blank" </w:instrTex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任浩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编著公共组织行为学出版社: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instrText xml:space="preserve"> HYPERLINK "http://www.dangdang.com/publish/%CD%AC%BC%C3%B4%F3%D1%A7%B3%F6%B0%E6%C9%E7_1" \t "_blank" </w:instrTex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同济大学出版社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出版时间:2006年1月 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0" w:leftChars="0" w:right="0" w:rightChars="0" w:hanging="42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instrText xml:space="preserve"> HYPERLINK "http://www.dangdang.com/author/%D5%C5%D6%BE%C3%F7_1" \t "_blank" </w:instrTex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张志明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instrText xml:space="preserve"> HYPERLINK "http://www.dangdang.com/author/%C1%F5%B1%FE%CF%E3_1" \t "_blank" </w:instrTex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刘炳香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　主编中央党校案例教学教程出版社: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instrText xml:space="preserve"> HYPERLINK "http://www.dangdang.com/publish/%D6%D0%B9%B2%D6%D0%D1%EB%B5%B3%D0%A3%B3%F6%B0%E6%C9%E7_1" \t "_blank" </w:instrTex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中共中央党校出版社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出版时间:2011年7月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0" w:leftChars="0" w:right="0" w:rightChars="0" w:hanging="42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竺乾威、邱柏生、顾丽梅主编：《组织行为学》，复旦大学出版社，2002年</w:t>
            </w:r>
          </w:p>
          <w:p>
            <w:pPr>
              <w:jc w:val="left"/>
              <w:rPr>
                <w:rFonts w:ascii="Times New Roman" w:hAnsi="Times New Roman" w:cs="Times New Roman"/>
                <w:color w:val="00B05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其它（More）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请参照附录一填写一下教学贡献点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24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备注（Notes）</w:t>
            </w:r>
          </w:p>
        </w:tc>
        <w:tc>
          <w:tcPr>
            <w:tcW w:w="7518" w:type="dxa"/>
            <w:gridSpan w:val="7"/>
            <w:vAlign w:val="center"/>
          </w:tcPr>
          <w:p>
            <w:pPr>
              <w:jc w:val="center"/>
              <w:rPr>
                <w:color w:val="00B050"/>
              </w:rPr>
            </w:pPr>
          </w:p>
        </w:tc>
      </w:tr>
    </w:tbl>
    <w:p>
      <w:pPr>
        <w:spacing w:beforeLines="100"/>
        <w:jc w:val="left"/>
      </w:pPr>
      <w:r>
        <w:rPr>
          <w:rFonts w:hint="eastAsia"/>
        </w:rPr>
        <w:t>备注说明：</w:t>
      </w:r>
    </w:p>
    <w:p>
      <w:pPr>
        <w:spacing w:line="400" w:lineRule="exact"/>
        <w:ind w:firstLine="420" w:firstLineChars="200"/>
      </w:pPr>
      <w:r>
        <w:rPr>
          <w:rFonts w:hint="eastAsia"/>
        </w:rPr>
        <w:t>1．带*内容为必填项。</w:t>
      </w:r>
    </w:p>
    <w:p>
      <w:pPr>
        <w:spacing w:line="400" w:lineRule="exact"/>
        <w:ind w:firstLine="420" w:firstLineChars="200"/>
      </w:pPr>
      <w:r>
        <w:rPr>
          <w:rFonts w:hint="eastAsia"/>
        </w:rPr>
        <w:t>2．课程简介字数为300-500字；课程大纲以表述清楚教学安排为宜，字数不限</w:t>
      </w:r>
    </w:p>
    <w:p>
      <w:pPr>
        <w:spacing w:line="400" w:lineRule="exact"/>
      </w:pPr>
    </w:p>
    <w:p>
      <w:pPr>
        <w:spacing w:line="400" w:lineRule="exact"/>
      </w:pPr>
      <w:r>
        <w:rPr>
          <w:rFonts w:hint="eastAsia"/>
        </w:rPr>
        <w:t xml:space="preserve">附录一: </w:t>
      </w:r>
      <w:r>
        <w:rPr>
          <w:rFonts w:hint="eastAsia" w:ascii="宋体" w:hAnsi="宋体"/>
          <w:b/>
          <w:szCs w:val="21"/>
        </w:rPr>
        <w:t>规范与要求</w:t>
      </w:r>
    </w:p>
    <w:p>
      <w:pPr>
        <w:spacing w:line="360" w:lineRule="auto"/>
        <w:ind w:firstLine="422" w:firstLineChars="20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A知识架构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A1至A4详见总则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A5.1 掌握本专业所需要的管理学学科的基本理论和基本知识；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A5.1.1管理学原理知识；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A5.1.2组织行为学知识；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A5.1.3战略管理与绩效管理知识；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A5.1.4财务管理知识。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A5.2 掌握本专业所需要的政治学学科的基本理论和基本知识；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A5.2.1政治学原理知识；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A5.2.2中国政治知识；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A5.2.3比较政治知识；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A5.2.4国际政治知识。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A5.3 掌握本专业所需要的经济学学科的基本理论和基本知识：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A5.3.1微观经济学知识；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A5.3.2宏观经济学知识；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A5.3.3公共经济与财政知识；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A5.3.4国有经济与资产管理知识。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A5.4掌握行政管理以及公共管理的核心知识体系；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A5.4.1</w:t>
      </w:r>
      <w:r>
        <w:rPr>
          <w:rFonts w:hint="eastAsia" w:ascii="宋体" w:hAnsi="宋体"/>
          <w:szCs w:val="21"/>
        </w:rPr>
        <w:t>行政学基础理论；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A5.4.2</w:t>
      </w:r>
      <w:r>
        <w:rPr>
          <w:rFonts w:hint="eastAsia" w:ascii="宋体" w:hAnsi="宋体"/>
          <w:szCs w:val="21"/>
        </w:rPr>
        <w:t>公共政策理论和知识；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A5.4.3</w:t>
      </w:r>
      <w:r>
        <w:rPr>
          <w:rFonts w:hint="eastAsia" w:ascii="宋体" w:hAnsi="宋体"/>
          <w:szCs w:val="21"/>
        </w:rPr>
        <w:t>非营利组织理论和知识；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A5.4.4</w:t>
      </w:r>
      <w:r>
        <w:rPr>
          <w:rFonts w:hint="eastAsia" w:ascii="宋体" w:hAnsi="宋体"/>
          <w:szCs w:val="21"/>
        </w:rPr>
        <w:t>行政伦理理论和知识；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A5.4.5</w:t>
      </w:r>
      <w:r>
        <w:rPr>
          <w:rFonts w:hint="eastAsia" w:ascii="宋体" w:hAnsi="宋体"/>
          <w:szCs w:val="21"/>
        </w:rPr>
        <w:t>人力资源理论和知识；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A5.4.6</w:t>
      </w:r>
      <w:r>
        <w:rPr>
          <w:rFonts w:hint="eastAsia" w:ascii="宋体" w:hAnsi="宋体"/>
          <w:szCs w:val="21"/>
        </w:rPr>
        <w:t>城市与社区管理理论和知识；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A5.4.7社会保障理论和知识。</w:t>
      </w:r>
    </w:p>
    <w:p>
      <w:pPr>
        <w:spacing w:line="360" w:lineRule="auto"/>
        <w:ind w:firstLine="422" w:firstLineChars="20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B能力要求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B1至B8详见总则。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B9具备一定的行政能力；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B10具备一定的政策分析能力；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B11具备公文写作能力。</w:t>
      </w:r>
    </w:p>
    <w:p>
      <w:pPr>
        <w:spacing w:line="360" w:lineRule="auto"/>
        <w:ind w:firstLine="422" w:firstLineChars="20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C素质要求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C1至C4详见总则；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C5具有社会公德和行政职业道德；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C6具有民主和法治的理念和精神；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C7具有爱国情怀与人类关怀。</w:t>
      </w:r>
    </w:p>
    <w:p>
      <w:pPr>
        <w:spacing w:line="4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eteo">
    <w:altName w:val="Segoe Print"/>
    <w:panose1 w:val="000000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04b_21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Agency FB">
    <w:altName w:val="Malgun Gothic"/>
    <w:panose1 w:val="020B0503020202020204"/>
    <w:charset w:val="00"/>
    <w:family w:val="auto"/>
    <w:pitch w:val="default"/>
    <w:sig w:usb0="00000000" w:usb1="00000000" w:usb2="00000000" w:usb3="00000000" w:csb0="20000001" w:csb1="00000000"/>
  </w:font>
  <w:font w:name="Aharoni">
    <w:panose1 w:val="02010803020104030203"/>
    <w:charset w:val="00"/>
    <w:family w:val="auto"/>
    <w:pitch w:val="default"/>
    <w:sig w:usb0="00000803" w:usb1="00000000" w:usb2="00000000" w:usb3="00000000" w:csb0="00000021" w:csb1="00200000"/>
  </w:font>
  <w:font w:name="Algerian">
    <w:altName w:val="Gabriola"/>
    <w:panose1 w:val="04020705040A02060702"/>
    <w:charset w:val="00"/>
    <w:family w:val="auto"/>
    <w:pitch w:val="default"/>
    <w:sig w:usb0="00000000" w:usb1="00000000" w:usb2="00000000" w:usb3="00000000" w:csb0="2000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Wingdings 3">
    <w:altName w:val="Symbol"/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de Latin">
    <w:altName w:val="Segoe Print"/>
    <w:panose1 w:val="020A0A07050505020404"/>
    <w:charset w:val="00"/>
    <w:family w:val="auto"/>
    <w:pitch w:val="default"/>
    <w:sig w:usb0="00000000" w:usb1="00000000" w:usb2="00000000" w:usb3="00000000" w:csb0="2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Vladimir Script">
    <w:altName w:val="Mongolian Baiti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Vivaldi">
    <w:altName w:val="Mongolian Baiti"/>
    <w:panose1 w:val="03020602050506090804"/>
    <w:charset w:val="00"/>
    <w:family w:val="auto"/>
    <w:pitch w:val="default"/>
    <w:sig w:usb0="00000000" w:usb1="00000000" w:usb2="00000000" w:usb3="00000000" w:csb0="20000001" w:csb1="00000000"/>
  </w:font>
  <w:font w:name="Viner Hand ITC">
    <w:altName w:val="Mongolian Baiti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Tw Cen MT Condensed Extra Bold">
    <w:altName w:val="Trebuchet MS"/>
    <w:panose1 w:val="020B0803020202020204"/>
    <w:charset w:val="00"/>
    <w:family w:val="auto"/>
    <w:pitch w:val="default"/>
    <w:sig w:usb0="00000000" w:usb1="00000000" w:usb2="00000000" w:usb3="00000000" w:csb0="20000003" w:csb1="00000000"/>
  </w:font>
  <w:font w:name="Tw Cen MT Condensed">
    <w:altName w:val="Segoe Print"/>
    <w:panose1 w:val="020B0606020104020203"/>
    <w:charset w:val="00"/>
    <w:family w:val="auto"/>
    <w:pitch w:val="default"/>
    <w:sig w:usb0="00000000" w:usb1="00000000" w:usb2="00000000" w:usb3="00000000" w:csb0="20000003" w:csb1="00000000"/>
  </w:font>
  <w:font w:name="Tw Cen MT">
    <w:altName w:val="Segoe Print"/>
    <w:panose1 w:val="020B0602020104020603"/>
    <w:charset w:val="00"/>
    <w:family w:val="auto"/>
    <w:pitch w:val="default"/>
    <w:sig w:usb0="00000000" w:usb1="00000000" w:usb2="00000000" w:usb3="00000000" w:csb0="20000003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3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01B7A"/>
    <w:multiLevelType w:val="multilevel"/>
    <w:tmpl w:val="1C301B7A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1">
    <w:nsid w:val="1EDC1589"/>
    <w:multiLevelType w:val="multilevel"/>
    <w:tmpl w:val="1EDC1589"/>
    <w:lvl w:ilvl="0" w:tentative="0">
      <w:start w:val="1"/>
      <w:numFmt w:val="decimal"/>
      <w:lvlText w:val="%1、"/>
      <w:lvlJc w:val="left"/>
      <w:pPr>
        <w:tabs>
          <w:tab w:val="left" w:pos="390"/>
        </w:tabs>
        <w:ind w:left="390" w:hanging="390"/>
      </w:pPr>
      <w:rPr>
        <w:rFonts w:hint="default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1EA4CEC"/>
    <w:multiLevelType w:val="multilevel"/>
    <w:tmpl w:val="51EA4CEC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581AA836"/>
    <w:multiLevelType w:val="singleLevel"/>
    <w:tmpl w:val="581AA836"/>
    <w:lvl w:ilvl="0" w:tentative="0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1D"/>
    <w:rsid w:val="00016D09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A4FE4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1CBE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69AA"/>
    <w:rsid w:val="00577467"/>
    <w:rsid w:val="00577ECF"/>
    <w:rsid w:val="005B52BE"/>
    <w:rsid w:val="005D6481"/>
    <w:rsid w:val="005F49AB"/>
    <w:rsid w:val="00612901"/>
    <w:rsid w:val="006141DA"/>
    <w:rsid w:val="0061590F"/>
    <w:rsid w:val="006251F3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D37C7"/>
    <w:rsid w:val="009E73FA"/>
    <w:rsid w:val="00A16565"/>
    <w:rsid w:val="00A3078F"/>
    <w:rsid w:val="00A37564"/>
    <w:rsid w:val="00A54CA9"/>
    <w:rsid w:val="00A61B1F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531BC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B685A"/>
    <w:rsid w:val="00CF32A8"/>
    <w:rsid w:val="00CF7312"/>
    <w:rsid w:val="00D05DC7"/>
    <w:rsid w:val="00D130CC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46C0A"/>
    <w:rsid w:val="00F746B7"/>
    <w:rsid w:val="00FA73AC"/>
    <w:rsid w:val="00FC687D"/>
    <w:rsid w:val="00FE20EB"/>
    <w:rsid w:val="00FE3349"/>
    <w:rsid w:val="00FE4D40"/>
    <w:rsid w:val="02642F1E"/>
    <w:rsid w:val="0EDF02BE"/>
    <w:rsid w:val="1839288A"/>
    <w:rsid w:val="26FF5A27"/>
    <w:rsid w:val="4D602E4F"/>
    <w:rsid w:val="5FEB7CFA"/>
    <w:rsid w:val="66980E5A"/>
    <w:rsid w:val="683B266A"/>
    <w:rsid w:val="795A5CB5"/>
    <w:rsid w:val="7E7D03F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