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left"/>
        <w:rPr>
          <w:szCs w:val="21"/>
        </w:rPr>
      </w:pPr>
      <w:bookmarkStart w:id="0" w:name="_GoBack"/>
      <w:bookmarkEnd w:id="0"/>
      <w:r>
        <w:rPr>
          <w:rFonts w:hint="eastAsia"/>
          <w:szCs w:val="21"/>
        </w:rPr>
        <w:t>附件2</w:t>
      </w:r>
    </w:p>
    <w:p>
      <w:pPr>
        <w:spacing w:after="156" w:afterLines="5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课程教学大纲</w:t>
      </w:r>
    </w:p>
    <w:tbl>
      <w:tblPr>
        <w:tblStyle w:val="10"/>
        <w:tblW w:w="9924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6"/>
        <w:gridCol w:w="1265"/>
        <w:gridCol w:w="1515"/>
        <w:gridCol w:w="1477"/>
        <w:gridCol w:w="618"/>
        <w:gridCol w:w="941"/>
        <w:gridCol w:w="1692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9924" w:type="dxa"/>
            <w:gridSpan w:val="8"/>
            <w:shd w:val="clear" w:color="auto" w:fill="D8D8D8" w:themeFill="background1" w:themeFillShade="D9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课程基本信息（Course Information）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40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课程代码</w:t>
            </w:r>
          </w:p>
          <w:p>
            <w:pPr>
              <w:jc w:val="center"/>
            </w:pPr>
            <w:r>
              <w:t>（</w:t>
            </w:r>
            <w:r>
              <w:rPr>
                <w:rFonts w:hint="eastAsia"/>
              </w:rPr>
              <w:t>Course Code）</w:t>
            </w:r>
          </w:p>
        </w:tc>
        <w:tc>
          <w:tcPr>
            <w:tcW w:w="1265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PU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318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*</w:t>
            </w:r>
            <w:r>
              <w:t>学时</w:t>
            </w:r>
          </w:p>
          <w:p>
            <w:pPr>
              <w:jc w:val="center"/>
              <w:rPr>
                <w:w w:val="90"/>
              </w:rPr>
            </w:pPr>
            <w:r>
              <w:rPr>
                <w:w w:val="90"/>
              </w:rPr>
              <w:t>（Credit</w:t>
            </w:r>
            <w:r>
              <w:rPr>
                <w:rFonts w:hint="eastAsia"/>
                <w:w w:val="90"/>
              </w:rPr>
              <w:t xml:space="preserve"> Hours</w:t>
            </w:r>
            <w:r>
              <w:rPr>
                <w:w w:val="90"/>
              </w:rPr>
              <w:t>）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24"/>
              </w:rPr>
              <w:t>64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*</w:t>
            </w:r>
            <w:r>
              <w:t>学分</w:t>
            </w:r>
          </w:p>
          <w:p>
            <w:pPr>
              <w:jc w:val="center"/>
            </w:pPr>
            <w:r>
              <w:t>（Credits）</w:t>
            </w:r>
          </w:p>
        </w:tc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2406" w:type="dxa"/>
            <w:vMerge w:val="restart"/>
            <w:vAlign w:val="center"/>
          </w:tcPr>
          <w:p>
            <w:r>
              <w:rPr>
                <w:rFonts w:hint="eastAsia"/>
                <w:color w:val="FF0000"/>
              </w:rPr>
              <w:t>*</w:t>
            </w:r>
            <w:r>
              <w:t>课程名称</w:t>
            </w:r>
          </w:p>
          <w:p>
            <w:r>
              <w:t>（</w:t>
            </w:r>
            <w:r>
              <w:rPr>
                <w:rFonts w:hint="eastAsia"/>
              </w:rPr>
              <w:t>Course Name）</w:t>
            </w:r>
          </w:p>
        </w:tc>
        <w:tc>
          <w:tcPr>
            <w:tcW w:w="7518" w:type="dxa"/>
            <w:gridSpan w:val="7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（中文）专业实习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2406" w:type="dxa"/>
            <w:vMerge w:val="continue"/>
          </w:tcPr>
          <w:p>
            <w:pPr>
              <w:jc w:val="left"/>
            </w:pPr>
          </w:p>
        </w:tc>
        <w:tc>
          <w:tcPr>
            <w:tcW w:w="7518" w:type="dxa"/>
            <w:gridSpan w:val="7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（英文）</w:t>
            </w:r>
            <w:r>
              <w:rPr>
                <w:rFonts w:ascii="宋体" w:hAnsi="宋体"/>
                <w:szCs w:val="21"/>
              </w:rPr>
              <w:t>Internship in Public Administration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40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课程性质</w:t>
            </w:r>
          </w:p>
          <w:p>
            <w:pPr>
              <w:jc w:val="center"/>
            </w:pPr>
            <w:r>
              <w:rPr>
                <w:rFonts w:hint="eastAsia"/>
              </w:rPr>
              <w:t>(Course Type)</w:t>
            </w:r>
          </w:p>
        </w:tc>
        <w:tc>
          <w:tcPr>
            <w:tcW w:w="7518" w:type="dxa"/>
            <w:gridSpan w:val="7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专业必修课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授课对象</w:t>
            </w:r>
          </w:p>
          <w:p>
            <w:pPr>
              <w:jc w:val="center"/>
            </w:pPr>
            <w:r>
              <w:rPr>
                <w:rFonts w:hint="eastAsia"/>
              </w:rPr>
              <w:t>（Audience）</w:t>
            </w:r>
          </w:p>
        </w:tc>
        <w:tc>
          <w:tcPr>
            <w:tcW w:w="7518" w:type="dxa"/>
            <w:gridSpan w:val="7"/>
            <w:vAlign w:val="center"/>
          </w:tcPr>
          <w:p>
            <w:pPr>
              <w:jc w:val="center"/>
              <w:rPr>
                <w:color w:val="0070C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行政管理专业的本科生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授课语言</w:t>
            </w:r>
          </w:p>
          <w:p>
            <w:pPr>
              <w:jc w:val="left"/>
            </w:pPr>
            <w:r>
              <w:rPr>
                <w:rFonts w:hint="eastAsia"/>
              </w:rPr>
              <w:t>(Language of Instruction)</w:t>
            </w:r>
          </w:p>
        </w:tc>
        <w:tc>
          <w:tcPr>
            <w:tcW w:w="7518" w:type="dxa"/>
            <w:gridSpan w:val="7"/>
            <w:vAlign w:val="center"/>
          </w:tcPr>
          <w:p>
            <w:pPr>
              <w:jc w:val="center"/>
            </w:pPr>
            <w:r>
              <w:t>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6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FF0000"/>
              </w:rPr>
              <w:t>*</w:t>
            </w:r>
            <w:r>
              <w:rPr>
                <w:rFonts w:hint="eastAsia"/>
              </w:rPr>
              <w:t>开课院系</w:t>
            </w:r>
          </w:p>
          <w:p>
            <w:pPr>
              <w:jc w:val="center"/>
            </w:pPr>
            <w:r>
              <w:rPr>
                <w:rFonts w:hint="eastAsia"/>
              </w:rPr>
              <w:t>（School）</w:t>
            </w:r>
          </w:p>
        </w:tc>
        <w:tc>
          <w:tcPr>
            <w:tcW w:w="7518" w:type="dxa"/>
            <w:gridSpan w:val="7"/>
            <w:vAlign w:val="center"/>
          </w:tcPr>
          <w:p>
            <w:pPr>
              <w:jc w:val="center"/>
            </w:pPr>
            <w:r>
              <w:t>国际</w:t>
            </w:r>
            <w:r>
              <w:rPr>
                <w:rFonts w:hint="eastAsia"/>
              </w:rPr>
              <w:t>与公共事务学院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先修课程</w:t>
            </w:r>
          </w:p>
          <w:p>
            <w:pPr>
              <w:jc w:val="center"/>
            </w:pPr>
            <w:r>
              <w:rPr>
                <w:rFonts w:hint="eastAsia"/>
              </w:rPr>
              <w:t>（Prerequisite）</w:t>
            </w:r>
          </w:p>
        </w:tc>
        <w:tc>
          <w:tcPr>
            <w:tcW w:w="7518" w:type="dxa"/>
            <w:gridSpan w:val="7"/>
            <w:vAlign w:val="center"/>
          </w:tcPr>
          <w:p>
            <w:pPr>
              <w:jc w:val="center"/>
            </w:pPr>
            <w:r>
              <w:t>行政管理、政治学、公共经济等本专业的基础课程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</w:trPr>
        <w:tc>
          <w:tcPr>
            <w:tcW w:w="240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授课教师</w:t>
            </w:r>
          </w:p>
          <w:p>
            <w:pPr>
              <w:jc w:val="center"/>
            </w:pPr>
            <w:r>
              <w:rPr>
                <w:rFonts w:hint="eastAsia"/>
              </w:rPr>
              <w:t>（Instructor）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09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课程网址</w:t>
            </w:r>
          </w:p>
          <w:p>
            <w:pPr>
              <w:jc w:val="center"/>
            </w:pPr>
            <w:r>
              <w:rPr>
                <w:rFonts w:hint="eastAsia"/>
              </w:rPr>
              <w:t>(</w:t>
            </w:r>
            <w:r>
              <w:t xml:space="preserve">Course </w:t>
            </w:r>
            <w:r>
              <w:rPr>
                <w:rFonts w:hint="eastAsia"/>
              </w:rPr>
              <w:t>W</w:t>
            </w:r>
            <w:r>
              <w:t>ebpage</w:t>
            </w:r>
            <w:r>
              <w:rPr>
                <w:rFonts w:hint="eastAsia"/>
              </w:rPr>
              <w:t>)</w:t>
            </w:r>
          </w:p>
        </w:tc>
        <w:tc>
          <w:tcPr>
            <w:tcW w:w="2633" w:type="dxa"/>
            <w:gridSpan w:val="2"/>
            <w:vAlign w:val="center"/>
          </w:tcPr>
          <w:p>
            <w:pPr>
              <w:jc w:val="center"/>
              <w:rPr>
                <w:color w:val="00B05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</w:trPr>
        <w:tc>
          <w:tcPr>
            <w:tcW w:w="2406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FF0000"/>
              </w:rPr>
              <w:t>*</w:t>
            </w:r>
            <w:r>
              <w:rPr>
                <w:rFonts w:hint="eastAsia"/>
              </w:rPr>
              <w:t>课程简介</w:t>
            </w:r>
            <w:r>
              <w:rPr>
                <w:rFonts w:hint="eastAsia"/>
                <w:w w:val="90"/>
              </w:rPr>
              <w:t>（Description）</w:t>
            </w:r>
          </w:p>
        </w:tc>
        <w:tc>
          <w:tcPr>
            <w:tcW w:w="7518" w:type="dxa"/>
            <w:gridSpan w:val="7"/>
            <w:vAlign w:val="center"/>
          </w:tcPr>
          <w:p>
            <w:pPr>
              <w:widowControl/>
              <w:spacing w:before="100" w:after="100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《专业实习》是行政管理专业学生培养过程中重要的教学实践环节，本课程安排在学生已经完成全部基础课和大部分专业课时进行。按照理论和实践紧密结合的原则，学生们通过在有代表性的政府机关、事业单位、社会组织、国有企业等公共部门，以及企业行政管理相关岗位的实习，获得以下知识或能力：了解公共部门的组织管理、运行过程等活动，增强对公共部门行政管理的感性认识；提升将行政管理理论和方法应用于实践的能力，加深对公共部门行政管理中现实问题的认识；培养调查研究、分析和解决行政管理实际问题的能力；开拓视野，为毕业后从事行政管理相关工作打下良好的基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3" w:hRule="atLeast"/>
        </w:trPr>
        <w:tc>
          <w:tcPr>
            <w:tcW w:w="240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color w:val="FF0000"/>
              </w:rPr>
              <w:t>*英文</w:t>
            </w:r>
            <w:r>
              <w:rPr>
                <w:rFonts w:hint="eastAsia"/>
              </w:rPr>
              <w:t>课程简介</w:t>
            </w:r>
            <w:r>
              <w:rPr>
                <w:rFonts w:hint="eastAsia"/>
                <w:w w:val="90"/>
              </w:rPr>
              <w:t>（Description）</w:t>
            </w:r>
          </w:p>
        </w:tc>
        <w:tc>
          <w:tcPr>
            <w:tcW w:w="7518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before="156" w:beforeLines="50" w:after="156" w:afterLines="5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"Professional internship " is an important part of teaching practice in the course of the 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students </w:t>
            </w:r>
            <w:r>
              <w:rPr>
                <w:rFonts w:ascii="Times New Roman" w:hAnsi="Times New Roman" w:cs="Times New Roman"/>
                <w:szCs w:val="21"/>
              </w:rPr>
              <w:t xml:space="preserve">training of administrative management major. This course </w:t>
            </w:r>
            <w:r>
              <w:rPr>
                <w:rFonts w:hint="eastAsia" w:ascii="Times New Roman" w:hAnsi="Times New Roman" w:cs="Times New Roman"/>
                <w:szCs w:val="21"/>
              </w:rPr>
              <w:t>should be offered</w:t>
            </w:r>
            <w:r>
              <w:rPr>
                <w:rFonts w:ascii="Times New Roman" w:hAnsi="Times New Roman" w:cs="Times New Roman"/>
                <w:szCs w:val="21"/>
              </w:rPr>
              <w:t xml:space="preserve"> after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students have </w:t>
            </w:r>
            <w:r>
              <w:rPr>
                <w:rFonts w:ascii="Times New Roman" w:hAnsi="Times New Roman" w:cs="Times New Roman"/>
                <w:szCs w:val="21"/>
              </w:rPr>
              <w:t>completed all the basic courses and most professional class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es. </w:t>
            </w:r>
            <w:r>
              <w:rPr>
                <w:rFonts w:ascii="Times New Roman" w:hAnsi="Times New Roman" w:cs="Times New Roman"/>
                <w:szCs w:val="21"/>
              </w:rPr>
              <w:t xml:space="preserve">In accordance with the principle of combining the theory and practice, the students 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will </w:t>
            </w:r>
            <w:r>
              <w:rPr>
                <w:rFonts w:ascii="Times New Roman" w:hAnsi="Times New Roman" w:cs="Times New Roman"/>
                <w:szCs w:val="21"/>
              </w:rPr>
              <w:t>internship in administration</w:t>
            </w:r>
            <w:r>
              <w:rPr>
                <w:rFonts w:hint="eastAsia"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related positions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in the </w:t>
            </w:r>
            <w:r>
              <w:rPr>
                <w:rFonts w:ascii="Times New Roman" w:hAnsi="Times New Roman" w:cs="Times New Roman"/>
                <w:szCs w:val="21"/>
              </w:rPr>
              <w:t xml:space="preserve">public sectors 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such as the </w:t>
            </w:r>
            <w:r>
              <w:rPr>
                <w:rFonts w:ascii="Times New Roman" w:hAnsi="Times New Roman" w:cs="Times New Roman"/>
                <w:szCs w:val="21"/>
              </w:rPr>
              <w:t xml:space="preserve">representative government agencies, public institutions, 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non-profit </w:t>
            </w:r>
            <w:r>
              <w:rPr>
                <w:rFonts w:ascii="Times New Roman" w:hAnsi="Times New Roman" w:cs="Times New Roman"/>
                <w:szCs w:val="21"/>
              </w:rPr>
              <w:t>organizations, state-owned enterprises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, etc., and then </w:t>
            </w:r>
            <w:r>
              <w:rPr>
                <w:rFonts w:ascii="Times New Roman" w:hAnsi="Times New Roman" w:cs="Times New Roman"/>
                <w:szCs w:val="21"/>
              </w:rPr>
              <w:t>obtain the following knowledge or abilit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ies: 1) </w:t>
            </w:r>
            <w:r>
              <w:rPr>
                <w:rFonts w:ascii="Times New Roman" w:hAnsi="Times New Roman" w:cs="Times New Roman"/>
                <w:szCs w:val="21"/>
              </w:rPr>
              <w:t>understand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the public sector activities such as organization management, operation process</w:t>
            </w:r>
            <w:r>
              <w:rPr>
                <w:rFonts w:hint="eastAsia" w:ascii="Times New Roman" w:hAnsi="Times New Roman" w:cs="Times New Roman"/>
                <w:szCs w:val="21"/>
              </w:rPr>
              <w:t>,</w:t>
            </w:r>
            <w:r>
              <w:rPr>
                <w:rFonts w:ascii="Times New Roman" w:hAnsi="Times New Roman" w:cs="Times New Roman"/>
                <w:szCs w:val="21"/>
              </w:rPr>
              <w:t xml:space="preserve"> and enhance the perceptual knowledge of public administrative management; 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2) </w:t>
            </w:r>
            <w:r>
              <w:rPr>
                <w:rFonts w:ascii="Times New Roman" w:hAnsi="Times New Roman" w:cs="Times New Roman"/>
                <w:szCs w:val="21"/>
              </w:rPr>
              <w:t>enhance the capability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of </w:t>
            </w:r>
            <w:r>
              <w:rPr>
                <w:rFonts w:ascii="Times New Roman" w:hAnsi="Times New Roman" w:cs="Times New Roman"/>
                <w:szCs w:val="21"/>
              </w:rPr>
              <w:t xml:space="preserve">apply the theory and method of administration to the practice, deepen the understanding of administrative management in the public sector; </w:t>
            </w:r>
            <w:r>
              <w:rPr>
                <w:rFonts w:hint="eastAsia" w:ascii="Times New Roman" w:hAnsi="Times New Roman" w:cs="Times New Roman"/>
                <w:szCs w:val="21"/>
              </w:rPr>
              <w:t>3) e</w:t>
            </w:r>
            <w:r>
              <w:rPr>
                <w:rFonts w:ascii="Times New Roman" w:hAnsi="Times New Roman" w:cs="Times New Roman"/>
                <w:szCs w:val="21"/>
              </w:rPr>
              <w:t xml:space="preserve">nhance the ability </w:t>
            </w:r>
            <w:r>
              <w:rPr>
                <w:rFonts w:hint="eastAsia" w:ascii="Times New Roman" w:hAnsi="Times New Roman" w:cs="Times New Roman"/>
                <w:szCs w:val="21"/>
              </w:rPr>
              <w:t>of c</w:t>
            </w:r>
            <w:r>
              <w:rPr>
                <w:rFonts w:ascii="Times New Roman" w:hAnsi="Times New Roman" w:cs="Times New Roman"/>
                <w:szCs w:val="21"/>
              </w:rPr>
              <w:t>arry</w:t>
            </w:r>
            <w:r>
              <w:rPr>
                <w:rFonts w:hint="eastAsia" w:ascii="Times New Roman" w:hAnsi="Times New Roman" w:cs="Times New Roman"/>
                <w:szCs w:val="21"/>
              </w:rPr>
              <w:t>ing</w:t>
            </w:r>
            <w:r>
              <w:rPr>
                <w:rFonts w:ascii="Times New Roman" w:hAnsi="Times New Roman" w:cs="Times New Roman"/>
                <w:szCs w:val="21"/>
              </w:rPr>
              <w:t xml:space="preserve"> out investigation and study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, </w:t>
            </w:r>
            <w:r>
              <w:rPr>
                <w:rFonts w:ascii="Times New Roman" w:hAnsi="Times New Roman" w:cs="Times New Roman"/>
                <w:szCs w:val="21"/>
              </w:rPr>
              <w:t>analyz</w:t>
            </w:r>
            <w:r>
              <w:rPr>
                <w:rFonts w:hint="eastAsia" w:ascii="Times New Roman" w:hAnsi="Times New Roman" w:cs="Times New Roman"/>
                <w:szCs w:val="21"/>
              </w:rPr>
              <w:t>ing</w:t>
            </w:r>
            <w:r>
              <w:rPr>
                <w:rFonts w:ascii="Times New Roman" w:hAnsi="Times New Roman" w:cs="Times New Roman"/>
                <w:szCs w:val="21"/>
              </w:rPr>
              <w:t xml:space="preserve"> and solv</w:t>
            </w:r>
            <w:r>
              <w:rPr>
                <w:rFonts w:hint="eastAsia" w:ascii="Times New Roman" w:hAnsi="Times New Roman" w:cs="Times New Roman"/>
                <w:szCs w:val="21"/>
              </w:rPr>
              <w:t>ing the</w:t>
            </w:r>
            <w:r>
              <w:rPr>
                <w:rFonts w:ascii="Times New Roman" w:hAnsi="Times New Roman" w:cs="Times New Roman"/>
                <w:szCs w:val="21"/>
              </w:rPr>
              <w:t xml:space="preserve"> problem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s </w:t>
            </w:r>
            <w:r>
              <w:rPr>
                <w:rFonts w:ascii="Times New Roman" w:hAnsi="Times New Roman" w:cs="Times New Roman"/>
                <w:szCs w:val="21"/>
              </w:rPr>
              <w:t>of the public administration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; 4) </w:t>
            </w:r>
            <w:r>
              <w:rPr>
                <w:rFonts w:ascii="Times New Roman" w:hAnsi="Times New Roman" w:cs="Times New Roman"/>
                <w:szCs w:val="21"/>
              </w:rPr>
              <w:t>broaden their horizons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and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lay a good foundation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for </w:t>
            </w:r>
            <w:r>
              <w:rPr>
                <w:rFonts w:ascii="Times New Roman" w:hAnsi="Times New Roman" w:cs="Times New Roman"/>
                <w:szCs w:val="21"/>
              </w:rPr>
              <w:t>engag</w:t>
            </w:r>
            <w:r>
              <w:rPr>
                <w:rFonts w:hint="eastAsia" w:ascii="Times New Roman" w:hAnsi="Times New Roman" w:cs="Times New Roman"/>
                <w:szCs w:val="21"/>
              </w:rPr>
              <w:t>ing</w:t>
            </w:r>
            <w:r>
              <w:rPr>
                <w:rFonts w:ascii="Times New Roman" w:hAnsi="Times New Roman" w:cs="Times New Roman"/>
                <w:szCs w:val="21"/>
              </w:rPr>
              <w:t xml:space="preserve"> in administrative related work after graduation</w:t>
            </w:r>
            <w:r>
              <w:rPr>
                <w:rFonts w:hint="eastAsia" w:ascii="Times New Roman" w:hAnsi="Times New Roman" w:cs="Times New Roman"/>
                <w:szCs w:val="21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9924" w:type="dxa"/>
            <w:gridSpan w:val="8"/>
            <w:shd w:val="clear" w:color="auto" w:fill="D8D8D8" w:themeFill="background1" w:themeFillShade="D9"/>
            <w:vAlign w:val="center"/>
          </w:tcPr>
          <w:p>
            <w:r>
              <w:rPr>
                <w:rFonts w:hint="eastAsia"/>
              </w:rPr>
              <w:t>课程教学大纲（C</w:t>
            </w:r>
            <w:r>
              <w:t xml:space="preserve">ourse </w:t>
            </w:r>
            <w:r>
              <w:rPr>
                <w:rFonts w:hint="eastAsia"/>
              </w:rPr>
              <w:t>S</w:t>
            </w:r>
            <w:r>
              <w:t>yllabus</w:t>
            </w:r>
            <w:r>
              <w:rPr>
                <w:rFonts w:hint="eastAsia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</w:trPr>
        <w:tc>
          <w:tcPr>
            <w:tcW w:w="2406" w:type="dxa"/>
            <w:vAlign w:val="center"/>
          </w:tcPr>
          <w:p>
            <w:pPr>
              <w:jc w:val="left"/>
            </w:pPr>
            <w:r>
              <w:rPr>
                <w:rFonts w:hint="eastAsia"/>
                <w:color w:val="C00000"/>
              </w:rPr>
              <w:t>*</w:t>
            </w:r>
            <w:r>
              <w:rPr>
                <w:rFonts w:hint="eastAsia"/>
              </w:rPr>
              <w:t>学习目标(Learning Outcomes)</w:t>
            </w:r>
          </w:p>
        </w:tc>
        <w:tc>
          <w:tcPr>
            <w:tcW w:w="7518" w:type="dxa"/>
            <w:gridSpan w:val="7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1、了解各类组织，尤其是公共部门的行政管理实践，增强对公共部门行政管理的感性认识；</w:t>
            </w: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2、提升将行政管理理论和方法应用于实践的能力，加深对公共部门行政管理中现实问题的认识；</w:t>
            </w: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3、培养调查研究、分析和解决行政管理实际问题的能力；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4、开拓视野，为毕业后从事行政管理相关工作打下良好的基础。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6" w:type="dxa"/>
            <w:vAlign w:val="center"/>
          </w:tcPr>
          <w:p>
            <w:pPr>
              <w:spacing w:line="460" w:lineRule="exact"/>
              <w:jc w:val="center"/>
            </w:pPr>
            <w:r>
              <w:rPr>
                <w:rFonts w:hint="eastAsia"/>
                <w:color w:val="C00000"/>
              </w:rPr>
              <w:t>*</w:t>
            </w:r>
            <w:r>
              <w:rPr>
                <w:rFonts w:hint="eastAsia"/>
              </w:rPr>
              <w:t>教学内容、进度安排及要求(</w:t>
            </w:r>
            <w:r>
              <w:t>Class Schedule</w:t>
            </w:r>
            <w:r>
              <w:rPr>
                <w:rFonts w:hint="eastAsia"/>
              </w:rPr>
              <w:t xml:space="preserve"> &amp; </w:t>
            </w:r>
            <w:r>
              <w:t>Requirements</w:t>
            </w:r>
            <w:r>
              <w:rPr>
                <w:rFonts w:hint="eastAsia"/>
              </w:rPr>
              <w:t>)</w:t>
            </w:r>
          </w:p>
        </w:tc>
        <w:tc>
          <w:tcPr>
            <w:tcW w:w="7518" w:type="dxa"/>
            <w:gridSpan w:val="7"/>
            <w:vAlign w:val="center"/>
          </w:tcPr>
          <w:p>
            <w:pPr>
              <w:spacing w:before="156" w:beforeLines="50"/>
              <w:ind w:firstLine="420" w:firstLineChars="2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实习应安排在政府机关、事业单位、社会组织、国有企业等各类公共部门，以及与行政管理有关的企业，以学生自行联系实习单位为主。接收实习的单位应满足我院实习大纲的要求，要负责安排学生的实习活动，并对学生的实习情况和实习纪律进行考核和监督，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对于少数自行落实实习单位有困难的同学，学院将负责组织安排。</w:t>
            </w:r>
          </w:p>
          <w:p>
            <w:pPr>
              <w:ind w:firstLine="420" w:firstLineChars="200"/>
              <w:rPr>
                <w:rFonts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实习时间为四至八周。</w:t>
            </w:r>
            <w:r>
              <w:rPr>
                <w:rFonts w:hint="eastAsia" w:cs="宋体"/>
                <w:szCs w:val="21"/>
              </w:rPr>
              <w:t>要求学生在实习期间，严守纪律，认真学习，熟悉公共部门的机构设置、制度规范、运行机制等行政管理活动，了解实习岗位的职责，掌握相关的工作技能，与实习单位的同事相处融洽。充分发挥行政管理的学科优势，学以致用，不仅完成好单位交办的各项事务，而且要开动脑筋，发挥创新精神，积极改进工作方式，提高效率。</w:t>
            </w:r>
          </w:p>
          <w:p>
            <w:pPr>
              <w:ind w:firstLine="420" w:firstLineChars="2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每位学生在实习期间，应遵守校纪校规和实习单位的规章制度和劳动纪律，不得无故缺勤，迟到和早退，实习期间一般不准请事假，病假要有医生证明。 在实习单位，学生要讲精神文明和道德规范，要处处维护学校和学院的荣誉，尊重所在实习单位和指导教师的安排指导，虚心向实习单位人员学习。 离开实习单位前，学生要办清一切手续，归还所借的资料及其它物品。</w:t>
            </w:r>
          </w:p>
          <w:p>
            <w:pPr>
              <w:ind w:firstLine="420" w:firstLineChars="2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实习期间，学生必须做好实习日记，记录实习内容，要根据实习情况及时填写《学生实习报告》，主动向指导教师汇报实习的情况。做到实习前有计划，实习期间有记载，实习结束后有总结。</w:t>
            </w:r>
          </w:p>
          <w:p>
            <w:pPr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2406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C00000"/>
              </w:rPr>
              <w:t>*</w:t>
            </w:r>
            <w:r>
              <w:rPr>
                <w:rFonts w:hint="eastAsia"/>
              </w:rPr>
              <w:t>考核方式(Grading)</w:t>
            </w:r>
          </w:p>
        </w:tc>
        <w:tc>
          <w:tcPr>
            <w:tcW w:w="7518" w:type="dxa"/>
            <w:gridSpan w:val="7"/>
            <w:vAlign w:val="center"/>
          </w:tcPr>
          <w:p>
            <w:pPr>
              <w:spacing w:before="156" w:beforeLines="5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1、实习结束后，实习单位要根据学生实习的表现、工作能力、工作态度，与他人的合作关系、遵守纪律等情况，写出简要的评语，并填写考勤表，盖章后寄回学校，这些将作为确定学生实习成绩的重要依据。</w:t>
            </w: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2、实习结束后，学生应上交实习日记和根据实习日记独立整理的实习报告一份，根据实际情况，学院将安排实习书面考核或口头答辩。</w:t>
            </w: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3、根据学生实习期间的表现、实习单位的评语、实习报告及书面或口头考核的情况，综合评定实习成绩。</w:t>
            </w: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4、考核不及格的学生将随下一届学生重新实习，实习的一切费用自理。</w:t>
            </w:r>
          </w:p>
          <w:p>
            <w:pPr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2406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C00000"/>
              </w:rPr>
              <w:t>*</w:t>
            </w:r>
            <w:r>
              <w:rPr>
                <w:rFonts w:hint="eastAsia"/>
              </w:rPr>
              <w:t>教材或参考资料(Textbooks &amp; Other Materials)</w:t>
            </w:r>
          </w:p>
        </w:tc>
        <w:tc>
          <w:tcPr>
            <w:tcW w:w="7518" w:type="dxa"/>
            <w:gridSpan w:val="7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无指定教材，主要由学生根据实习岗位的要求自主确定，教师可予以指导。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240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其它（More）</w:t>
            </w:r>
          </w:p>
        </w:tc>
        <w:tc>
          <w:tcPr>
            <w:tcW w:w="7518" w:type="dxa"/>
            <w:gridSpan w:val="7"/>
            <w:vAlign w:val="center"/>
          </w:tcPr>
          <w:p>
            <w:pPr>
              <w:jc w:val="center"/>
              <w:rPr>
                <w:color w:val="00B050"/>
              </w:rPr>
            </w:pPr>
            <w:r>
              <w:rPr>
                <w:rFonts w:hint="eastAsia"/>
                <w:color w:val="00B050"/>
              </w:rPr>
              <w:t>请参照附录一填写一下教学贡献点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240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备注（Notes）</w:t>
            </w:r>
          </w:p>
        </w:tc>
        <w:tc>
          <w:tcPr>
            <w:tcW w:w="7518" w:type="dxa"/>
            <w:gridSpan w:val="7"/>
            <w:vAlign w:val="center"/>
          </w:tcPr>
          <w:p>
            <w:pPr>
              <w:jc w:val="center"/>
              <w:rPr>
                <w:color w:val="00B050"/>
              </w:rPr>
            </w:pPr>
          </w:p>
        </w:tc>
      </w:tr>
    </w:tbl>
    <w:p>
      <w:pPr>
        <w:spacing w:before="312" w:beforeLines="100"/>
        <w:jc w:val="left"/>
      </w:pPr>
      <w:r>
        <w:rPr>
          <w:rFonts w:hint="eastAsia"/>
        </w:rPr>
        <w:t>备注说明：</w:t>
      </w:r>
    </w:p>
    <w:p>
      <w:pPr>
        <w:spacing w:line="400" w:lineRule="exact"/>
        <w:ind w:firstLine="420" w:firstLineChars="200"/>
      </w:pPr>
      <w:r>
        <w:rPr>
          <w:rFonts w:hint="eastAsia"/>
        </w:rPr>
        <w:t>1．带*内容为必填项。</w:t>
      </w:r>
    </w:p>
    <w:p>
      <w:pPr>
        <w:spacing w:line="400" w:lineRule="exact"/>
        <w:ind w:firstLine="420" w:firstLineChars="200"/>
      </w:pPr>
      <w:r>
        <w:rPr>
          <w:rFonts w:hint="eastAsia"/>
        </w:rPr>
        <w:t>2．课程简介字数为300-500字；课程大纲以表述清楚教学安排为宜，字数不限</w:t>
      </w:r>
    </w:p>
    <w:p>
      <w:pPr>
        <w:spacing w:line="400" w:lineRule="exact"/>
      </w:pPr>
    </w:p>
    <w:p>
      <w:pPr>
        <w:spacing w:line="400" w:lineRule="exact"/>
      </w:pPr>
      <w:r>
        <w:rPr>
          <w:rFonts w:hint="eastAsia"/>
        </w:rPr>
        <w:t>教学贡献点：</w:t>
      </w:r>
    </w:p>
    <w:p>
      <w:pPr>
        <w:spacing w:line="400" w:lineRule="exact"/>
      </w:pPr>
    </w:p>
    <w:p>
      <w:pPr>
        <w:spacing w:line="400" w:lineRule="exact"/>
      </w:pPr>
    </w:p>
    <w:p>
      <w:pPr>
        <w:spacing w:line="400" w:lineRule="exact"/>
      </w:pPr>
      <w:r>
        <w:rPr>
          <w:rFonts w:hint="eastAsia"/>
        </w:rPr>
        <w:t xml:space="preserve">附录一: </w:t>
      </w:r>
      <w:r>
        <w:rPr>
          <w:rFonts w:hint="eastAsia" w:ascii="宋体" w:hAnsi="宋体"/>
          <w:b/>
          <w:szCs w:val="21"/>
        </w:rPr>
        <w:t>规范与要求</w:t>
      </w:r>
    </w:p>
    <w:p>
      <w:pPr>
        <w:spacing w:line="360" w:lineRule="auto"/>
        <w:ind w:firstLine="422" w:firstLineChars="200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A知识架构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A1至A4详见总则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A5.1 掌握本专业所需要的管理学学科的基本理论和基本知识；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A5.1.1管理学原理知识；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A5.1.2组织行为学知识；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A5.1.3战略管理与绩效管理知识；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A5.1.4财务管理知识。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A5.2 掌握本专业所需要的政治学学科的基本理论和基本知识；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A5.2.1政治学原理知识；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A5.2.2中国政治知识；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A5.2.3比较政治知识；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A5.2.4国际政治知识。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A5.3 掌握本专业所需要的经济学学科的基本理论和基本知识：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A5.3.1微观经济学知识；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A5.3.2宏观经济学知识；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A5.3.3公共经济与财政知识；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A5.3.4国有经济与资产管理知识。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A5.4掌握行政管理以及公共管理的核心知识体系；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A5.4.1</w:t>
      </w:r>
      <w:r>
        <w:rPr>
          <w:rFonts w:hint="eastAsia" w:ascii="宋体" w:hAnsi="宋体"/>
          <w:szCs w:val="21"/>
        </w:rPr>
        <w:t>行政学基础理论；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A5.4.2</w:t>
      </w:r>
      <w:r>
        <w:rPr>
          <w:rFonts w:hint="eastAsia" w:ascii="宋体" w:hAnsi="宋体"/>
          <w:szCs w:val="21"/>
        </w:rPr>
        <w:t>公共政策理论和知识；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A5.4.3</w:t>
      </w:r>
      <w:r>
        <w:rPr>
          <w:rFonts w:hint="eastAsia" w:ascii="宋体" w:hAnsi="宋体"/>
          <w:szCs w:val="21"/>
        </w:rPr>
        <w:t>非营利组织理论和知识；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A5.4.4</w:t>
      </w:r>
      <w:r>
        <w:rPr>
          <w:rFonts w:hint="eastAsia" w:ascii="宋体" w:hAnsi="宋体"/>
          <w:szCs w:val="21"/>
        </w:rPr>
        <w:t>行政伦理理论和知识；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A5.4.5</w:t>
      </w:r>
      <w:r>
        <w:rPr>
          <w:rFonts w:hint="eastAsia" w:ascii="宋体" w:hAnsi="宋体"/>
          <w:szCs w:val="21"/>
        </w:rPr>
        <w:t>人力资源理论和知识；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A5.4.6</w:t>
      </w:r>
      <w:r>
        <w:rPr>
          <w:rFonts w:hint="eastAsia" w:ascii="宋体" w:hAnsi="宋体"/>
          <w:szCs w:val="21"/>
        </w:rPr>
        <w:t>城市与社区管理理论和知识；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A5.4.7社会保障理论和知识。</w:t>
      </w:r>
    </w:p>
    <w:p>
      <w:pPr>
        <w:spacing w:line="360" w:lineRule="auto"/>
        <w:ind w:firstLine="422" w:firstLineChars="200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B能力要求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B1至B8详见总则。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B9具备一定的行政能力；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B10具备一定的政策分析能力；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B11具备公文写作能力。</w:t>
      </w:r>
    </w:p>
    <w:p>
      <w:pPr>
        <w:spacing w:line="360" w:lineRule="auto"/>
        <w:ind w:firstLine="422" w:firstLineChars="200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C素质要求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C1至C4详见总则；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C5具有社会公德和行政职业道德；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C6具有民主和法治的理念和精神；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C7具有爱国情怀与人类关怀。</w:t>
      </w:r>
    </w:p>
    <w:p>
      <w:pPr>
        <w:spacing w:line="40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ymeteo">
    <w:altName w:val="Courier New"/>
    <w:panose1 w:val="00000000000000000000"/>
    <w:charset w:val="00"/>
    <w:family w:val="auto"/>
    <w:pitch w:val="default"/>
    <w:sig w:usb0="00000000" w:usb1="00000000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61D"/>
    <w:rsid w:val="00007E41"/>
    <w:rsid w:val="00016D09"/>
    <w:rsid w:val="00041837"/>
    <w:rsid w:val="00046DFD"/>
    <w:rsid w:val="0006061D"/>
    <w:rsid w:val="00065C8F"/>
    <w:rsid w:val="0006665D"/>
    <w:rsid w:val="000923CA"/>
    <w:rsid w:val="0009580A"/>
    <w:rsid w:val="000A3107"/>
    <w:rsid w:val="000A548F"/>
    <w:rsid w:val="000B0429"/>
    <w:rsid w:val="000B4F6B"/>
    <w:rsid w:val="000B5B61"/>
    <w:rsid w:val="000C125F"/>
    <w:rsid w:val="000C4BA4"/>
    <w:rsid w:val="000F4F4C"/>
    <w:rsid w:val="001132A0"/>
    <w:rsid w:val="00113507"/>
    <w:rsid w:val="00124F58"/>
    <w:rsid w:val="00133ABB"/>
    <w:rsid w:val="00135619"/>
    <w:rsid w:val="00135A6D"/>
    <w:rsid w:val="001473BE"/>
    <w:rsid w:val="00152B75"/>
    <w:rsid w:val="00153410"/>
    <w:rsid w:val="001552DE"/>
    <w:rsid w:val="00160181"/>
    <w:rsid w:val="0016692D"/>
    <w:rsid w:val="0017276E"/>
    <w:rsid w:val="00175520"/>
    <w:rsid w:val="00181BE7"/>
    <w:rsid w:val="001A4FE4"/>
    <w:rsid w:val="001C34BD"/>
    <w:rsid w:val="001C7AD8"/>
    <w:rsid w:val="001D0BF5"/>
    <w:rsid w:val="001D5C35"/>
    <w:rsid w:val="001E0B00"/>
    <w:rsid w:val="001E73FD"/>
    <w:rsid w:val="00207DEF"/>
    <w:rsid w:val="00227A34"/>
    <w:rsid w:val="00247AA1"/>
    <w:rsid w:val="00253EFC"/>
    <w:rsid w:val="002540C8"/>
    <w:rsid w:val="0026026C"/>
    <w:rsid w:val="0026569D"/>
    <w:rsid w:val="00272C80"/>
    <w:rsid w:val="0027360E"/>
    <w:rsid w:val="0028182B"/>
    <w:rsid w:val="0028463A"/>
    <w:rsid w:val="0028584C"/>
    <w:rsid w:val="002959B2"/>
    <w:rsid w:val="002A157D"/>
    <w:rsid w:val="002A6549"/>
    <w:rsid w:val="002A7980"/>
    <w:rsid w:val="002B0ADE"/>
    <w:rsid w:val="002B6537"/>
    <w:rsid w:val="002D4CDC"/>
    <w:rsid w:val="003036D4"/>
    <w:rsid w:val="00311C4E"/>
    <w:rsid w:val="0031631A"/>
    <w:rsid w:val="00321BE5"/>
    <w:rsid w:val="003237D3"/>
    <w:rsid w:val="00341CDD"/>
    <w:rsid w:val="00366702"/>
    <w:rsid w:val="00367787"/>
    <w:rsid w:val="003715C0"/>
    <w:rsid w:val="003730D6"/>
    <w:rsid w:val="003761A0"/>
    <w:rsid w:val="00377008"/>
    <w:rsid w:val="00392DF1"/>
    <w:rsid w:val="003948E3"/>
    <w:rsid w:val="00395246"/>
    <w:rsid w:val="0039570D"/>
    <w:rsid w:val="00397329"/>
    <w:rsid w:val="003B0F22"/>
    <w:rsid w:val="003C339B"/>
    <w:rsid w:val="003C4422"/>
    <w:rsid w:val="003D10F5"/>
    <w:rsid w:val="003E1A3C"/>
    <w:rsid w:val="003E65CC"/>
    <w:rsid w:val="0041033B"/>
    <w:rsid w:val="00446816"/>
    <w:rsid w:val="00461685"/>
    <w:rsid w:val="00471CBE"/>
    <w:rsid w:val="00474457"/>
    <w:rsid w:val="00487AD7"/>
    <w:rsid w:val="004921CE"/>
    <w:rsid w:val="004A4AE4"/>
    <w:rsid w:val="004B458D"/>
    <w:rsid w:val="004D4153"/>
    <w:rsid w:val="004D62C4"/>
    <w:rsid w:val="004E283B"/>
    <w:rsid w:val="005031D5"/>
    <w:rsid w:val="00511D50"/>
    <w:rsid w:val="00520B0A"/>
    <w:rsid w:val="00527A73"/>
    <w:rsid w:val="00565461"/>
    <w:rsid w:val="005669AA"/>
    <w:rsid w:val="00577467"/>
    <w:rsid w:val="00577ECF"/>
    <w:rsid w:val="005B52BE"/>
    <w:rsid w:val="005D6481"/>
    <w:rsid w:val="005F49AB"/>
    <w:rsid w:val="00607A48"/>
    <w:rsid w:val="00612901"/>
    <w:rsid w:val="006141DA"/>
    <w:rsid w:val="0061590F"/>
    <w:rsid w:val="006251F3"/>
    <w:rsid w:val="00647F8A"/>
    <w:rsid w:val="00656964"/>
    <w:rsid w:val="00663B60"/>
    <w:rsid w:val="00686943"/>
    <w:rsid w:val="006A13AE"/>
    <w:rsid w:val="006D3645"/>
    <w:rsid w:val="006E1A70"/>
    <w:rsid w:val="006F1849"/>
    <w:rsid w:val="006F49C1"/>
    <w:rsid w:val="00705456"/>
    <w:rsid w:val="00707583"/>
    <w:rsid w:val="00726082"/>
    <w:rsid w:val="0074127F"/>
    <w:rsid w:val="00747500"/>
    <w:rsid w:val="00747E6D"/>
    <w:rsid w:val="00752CFD"/>
    <w:rsid w:val="00757F88"/>
    <w:rsid w:val="00761500"/>
    <w:rsid w:val="00765EA2"/>
    <w:rsid w:val="00784A11"/>
    <w:rsid w:val="00795F2D"/>
    <w:rsid w:val="007A19E1"/>
    <w:rsid w:val="007D1053"/>
    <w:rsid w:val="007D4099"/>
    <w:rsid w:val="007D4434"/>
    <w:rsid w:val="007E4B77"/>
    <w:rsid w:val="007F45E6"/>
    <w:rsid w:val="008158EA"/>
    <w:rsid w:val="00823ACC"/>
    <w:rsid w:val="00824804"/>
    <w:rsid w:val="00825354"/>
    <w:rsid w:val="00825C1B"/>
    <w:rsid w:val="008331D4"/>
    <w:rsid w:val="00857453"/>
    <w:rsid w:val="00862DD0"/>
    <w:rsid w:val="00890F38"/>
    <w:rsid w:val="008954B7"/>
    <w:rsid w:val="008A7203"/>
    <w:rsid w:val="008E6E53"/>
    <w:rsid w:val="008F7DAE"/>
    <w:rsid w:val="00901F86"/>
    <w:rsid w:val="00904EBA"/>
    <w:rsid w:val="0090604F"/>
    <w:rsid w:val="009202E6"/>
    <w:rsid w:val="00923E3A"/>
    <w:rsid w:val="00931F97"/>
    <w:rsid w:val="009325A7"/>
    <w:rsid w:val="0094583E"/>
    <w:rsid w:val="009521A6"/>
    <w:rsid w:val="009744FC"/>
    <w:rsid w:val="00983A28"/>
    <w:rsid w:val="009A0D3D"/>
    <w:rsid w:val="009A13D5"/>
    <w:rsid w:val="009A1690"/>
    <w:rsid w:val="009A47BC"/>
    <w:rsid w:val="009C2014"/>
    <w:rsid w:val="009D37C7"/>
    <w:rsid w:val="009E73FA"/>
    <w:rsid w:val="00A14817"/>
    <w:rsid w:val="00A16565"/>
    <w:rsid w:val="00A3078F"/>
    <w:rsid w:val="00A37564"/>
    <w:rsid w:val="00A54CA9"/>
    <w:rsid w:val="00A61B1F"/>
    <w:rsid w:val="00A74FD4"/>
    <w:rsid w:val="00A87279"/>
    <w:rsid w:val="00A874E8"/>
    <w:rsid w:val="00A960D0"/>
    <w:rsid w:val="00AC0E1A"/>
    <w:rsid w:val="00AC1B9C"/>
    <w:rsid w:val="00AC5156"/>
    <w:rsid w:val="00AD0114"/>
    <w:rsid w:val="00AD3765"/>
    <w:rsid w:val="00AD7089"/>
    <w:rsid w:val="00AD7DBD"/>
    <w:rsid w:val="00AD7E02"/>
    <w:rsid w:val="00AE6C69"/>
    <w:rsid w:val="00AF1891"/>
    <w:rsid w:val="00AF7E33"/>
    <w:rsid w:val="00B01709"/>
    <w:rsid w:val="00B05FFC"/>
    <w:rsid w:val="00B10595"/>
    <w:rsid w:val="00B10EFA"/>
    <w:rsid w:val="00B17C5F"/>
    <w:rsid w:val="00B20254"/>
    <w:rsid w:val="00B328AD"/>
    <w:rsid w:val="00B41900"/>
    <w:rsid w:val="00B518F3"/>
    <w:rsid w:val="00B531BC"/>
    <w:rsid w:val="00B74383"/>
    <w:rsid w:val="00B80B5A"/>
    <w:rsid w:val="00B96189"/>
    <w:rsid w:val="00B970D8"/>
    <w:rsid w:val="00BA368E"/>
    <w:rsid w:val="00BB2F0A"/>
    <w:rsid w:val="00BC0503"/>
    <w:rsid w:val="00BE022B"/>
    <w:rsid w:val="00BE3AD1"/>
    <w:rsid w:val="00C040DE"/>
    <w:rsid w:val="00C32E3E"/>
    <w:rsid w:val="00C46B87"/>
    <w:rsid w:val="00C55354"/>
    <w:rsid w:val="00C73038"/>
    <w:rsid w:val="00C85828"/>
    <w:rsid w:val="00C8676D"/>
    <w:rsid w:val="00CB685A"/>
    <w:rsid w:val="00CC7FB8"/>
    <w:rsid w:val="00CF32A8"/>
    <w:rsid w:val="00CF7312"/>
    <w:rsid w:val="00D05DC7"/>
    <w:rsid w:val="00D130CC"/>
    <w:rsid w:val="00D1758F"/>
    <w:rsid w:val="00D228FC"/>
    <w:rsid w:val="00D23BC7"/>
    <w:rsid w:val="00D41A07"/>
    <w:rsid w:val="00D43323"/>
    <w:rsid w:val="00D44335"/>
    <w:rsid w:val="00D47A4D"/>
    <w:rsid w:val="00D47C65"/>
    <w:rsid w:val="00D51EAF"/>
    <w:rsid w:val="00D644B5"/>
    <w:rsid w:val="00D73A3C"/>
    <w:rsid w:val="00D85250"/>
    <w:rsid w:val="00D858FF"/>
    <w:rsid w:val="00D97D4E"/>
    <w:rsid w:val="00DA70BB"/>
    <w:rsid w:val="00DB5794"/>
    <w:rsid w:val="00DC50B0"/>
    <w:rsid w:val="00DC7BDC"/>
    <w:rsid w:val="00DF671F"/>
    <w:rsid w:val="00E025AD"/>
    <w:rsid w:val="00E06426"/>
    <w:rsid w:val="00E10351"/>
    <w:rsid w:val="00E30BA9"/>
    <w:rsid w:val="00E43921"/>
    <w:rsid w:val="00E54B0F"/>
    <w:rsid w:val="00E5505D"/>
    <w:rsid w:val="00E60960"/>
    <w:rsid w:val="00E8597D"/>
    <w:rsid w:val="00E85F6E"/>
    <w:rsid w:val="00E90402"/>
    <w:rsid w:val="00E93580"/>
    <w:rsid w:val="00E953DB"/>
    <w:rsid w:val="00EA259D"/>
    <w:rsid w:val="00EB20C0"/>
    <w:rsid w:val="00EC1070"/>
    <w:rsid w:val="00EC42BD"/>
    <w:rsid w:val="00ED2940"/>
    <w:rsid w:val="00ED30B5"/>
    <w:rsid w:val="00EF2DF5"/>
    <w:rsid w:val="00F262EB"/>
    <w:rsid w:val="00F33694"/>
    <w:rsid w:val="00F37DA6"/>
    <w:rsid w:val="00F46C0A"/>
    <w:rsid w:val="00F746B7"/>
    <w:rsid w:val="00F84058"/>
    <w:rsid w:val="00F91114"/>
    <w:rsid w:val="00FA29B5"/>
    <w:rsid w:val="00FA73AC"/>
    <w:rsid w:val="00FC687D"/>
    <w:rsid w:val="00FE20EB"/>
    <w:rsid w:val="00FE3349"/>
    <w:rsid w:val="00FE4D40"/>
    <w:rsid w:val="00FE5BE2"/>
    <w:rsid w:val="08824589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8"/>
    <w:uiPriority w:val="0"/>
    <w:pPr>
      <w:ind w:firstLine="480" w:firstLineChars="200"/>
    </w:pPr>
    <w:rPr>
      <w:rFonts w:ascii="宋体" w:hAnsi="宋体" w:eastAsia="宋体" w:cs="Times New Roman"/>
      <w:kern w:val="0"/>
      <w:sz w:val="24"/>
      <w:szCs w:val="18"/>
    </w:rPr>
  </w:style>
  <w:style w:type="paragraph" w:styleId="3">
    <w:name w:val="Balloon Text"/>
    <w:basedOn w:val="1"/>
    <w:link w:val="13"/>
    <w:unhideWhenUsed/>
    <w:uiPriority w:val="99"/>
    <w:rPr>
      <w:sz w:val="18"/>
      <w:szCs w:val="18"/>
    </w:rPr>
  </w:style>
  <w:style w:type="paragraph" w:styleId="4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unhideWhenUsed/>
    <w:uiPriority w:val="99"/>
    <w:rPr>
      <w:color w:val="0000FF"/>
      <w:u w:val="none"/>
    </w:rPr>
  </w:style>
  <w:style w:type="table" w:styleId="10">
    <w:name w:val="Table Grid"/>
    <w:basedOn w:val="9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样式2"/>
    <w:basedOn w:val="1"/>
    <w:uiPriority w:val="0"/>
    <w:rPr>
      <w:rFonts w:ascii="宋体" w:hAnsi="宋体" w:eastAsia="宋体" w:cs="Symeteo"/>
      <w:bCs/>
      <w:color w:val="FF0000"/>
      <w:sz w:val="24"/>
      <w:szCs w:val="24"/>
    </w:rPr>
  </w:style>
  <w:style w:type="character" w:customStyle="1" w:styleId="13">
    <w:name w:val="批注框文本 Char"/>
    <w:basedOn w:val="6"/>
    <w:link w:val="3"/>
    <w:semiHidden/>
    <w:uiPriority w:val="99"/>
    <w:rPr>
      <w:sz w:val="18"/>
      <w:szCs w:val="18"/>
    </w:rPr>
  </w:style>
  <w:style w:type="character" w:customStyle="1" w:styleId="14">
    <w:name w:val="页眉 Char"/>
    <w:basedOn w:val="6"/>
    <w:link w:val="5"/>
    <w:uiPriority w:val="99"/>
    <w:rPr>
      <w:sz w:val="18"/>
      <w:szCs w:val="18"/>
    </w:rPr>
  </w:style>
  <w:style w:type="character" w:customStyle="1" w:styleId="15">
    <w:name w:val="页脚 Char"/>
    <w:basedOn w:val="6"/>
    <w:link w:val="4"/>
    <w:uiPriority w:val="99"/>
    <w:rPr>
      <w:sz w:val="18"/>
      <w:szCs w:val="18"/>
    </w:rPr>
  </w:style>
  <w:style w:type="character" w:customStyle="1" w:styleId="16">
    <w:name w:val="apple-converted-space"/>
    <w:basedOn w:val="6"/>
    <w:uiPriority w:val="0"/>
  </w:style>
  <w:style w:type="character" w:customStyle="1" w:styleId="17">
    <w:name w:val="high-light"/>
    <w:basedOn w:val="6"/>
    <w:uiPriority w:val="0"/>
  </w:style>
  <w:style w:type="character" w:customStyle="1" w:styleId="18">
    <w:name w:val="正文文本缩进 Char"/>
    <w:basedOn w:val="6"/>
    <w:link w:val="2"/>
    <w:uiPriority w:val="0"/>
    <w:rPr>
      <w:rFonts w:ascii="宋体" w:hAnsi="宋体" w:eastAsia="宋体" w:cs="Times New Roman"/>
      <w:kern w:val="0"/>
      <w:sz w:val="24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546</Words>
  <Characters>3115</Characters>
  <Lines>25</Lines>
  <Paragraphs>7</Paragraphs>
  <TotalTime>0</TotalTime>
  <ScaleCrop>false</ScaleCrop>
  <LinksUpToDate>false</LinksUpToDate>
  <CharactersWithSpaces>3654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2016-11-29T03:51:00Z</dcterms:created>
  <dc:creator>xiqiang yang</dc:creator>
  <cp:lastModifiedBy>win7</cp:lastModifiedBy>
  <cp:lastPrinted>2014-04-28T01:34:00Z</cp:lastPrinted>
  <dcterms:modified xsi:type="dcterms:W3CDTF">2016-12-12T08:40:31Z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